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28" w:rsidRPr="006A0528" w:rsidRDefault="006A0528" w:rsidP="006A0528">
      <w:pPr>
        <w:bidi w:val="0"/>
        <w:spacing w:before="660" w:after="330" w:line="630" w:lineRule="atLeast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proofErr w:type="spellStart"/>
      <w:r w:rsidRPr="006A0528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>Urologia</w:t>
      </w:r>
      <w:proofErr w:type="spellEnd"/>
      <w:r w:rsidRPr="006A0528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 xml:space="preserve"> Internationalis</w:t>
      </w:r>
    </w:p>
    <w:p w:rsidR="006A0528" w:rsidRPr="006A0528" w:rsidRDefault="006A0528" w:rsidP="006A0528">
      <w:pPr>
        <w:bidi w:val="0"/>
        <w:spacing w:before="540" w:after="270" w:line="540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</w:rPr>
      </w:pPr>
      <w:r w:rsidRPr="006A0528">
        <w:rPr>
          <w:rFonts w:ascii="inherit" w:eastAsia="Times New Roman" w:hAnsi="inherit" w:cs="Times New Roman"/>
          <w:b/>
          <w:bCs/>
          <w:color w:val="333333"/>
          <w:sz w:val="27"/>
          <w:szCs w:val="27"/>
        </w:rPr>
        <w:t>Original Paper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7725"/>
      </w:tblGrid>
      <w:tr w:rsidR="006A0528" w:rsidRPr="006A0528" w:rsidTr="006A0528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528" w:rsidRPr="006A0528" w:rsidRDefault="006A0528" w:rsidP="006A052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528" w:rsidRPr="006A0528" w:rsidRDefault="006A0528" w:rsidP="006A0528">
            <w:pPr>
              <w:bidi w:val="0"/>
              <w:spacing w:before="360" w:after="480" w:line="960" w:lineRule="atLeast"/>
              <w:outlineLvl w:val="0"/>
              <w:rPr>
                <w:rFonts w:ascii="inherit" w:eastAsia="Times New Roman" w:hAnsi="inherit" w:cs="Times New Roman"/>
                <w:b/>
                <w:bCs/>
                <w:color w:val="333333"/>
                <w:kern w:val="36"/>
                <w:sz w:val="48"/>
                <w:szCs w:val="48"/>
              </w:rPr>
            </w:pPr>
            <w:r w:rsidRPr="006A0528">
              <w:rPr>
                <w:rFonts w:ascii="inherit" w:eastAsia="Times New Roman" w:hAnsi="inherit" w:cs="Times New Roman"/>
                <w:b/>
                <w:bCs/>
                <w:color w:val="333333"/>
                <w:kern w:val="36"/>
                <w:sz w:val="48"/>
                <w:szCs w:val="48"/>
              </w:rPr>
              <w:t xml:space="preserve">Comparative Study between Silodosin and </w:t>
            </w:r>
            <w:proofErr w:type="spellStart"/>
            <w:r w:rsidRPr="006A0528">
              <w:rPr>
                <w:rFonts w:ascii="inherit" w:eastAsia="Times New Roman" w:hAnsi="inherit" w:cs="Times New Roman"/>
                <w:b/>
                <w:bCs/>
                <w:color w:val="333333"/>
                <w:kern w:val="36"/>
                <w:sz w:val="48"/>
                <w:szCs w:val="48"/>
              </w:rPr>
              <w:t>Tamsulosin</w:t>
            </w:r>
            <w:proofErr w:type="spellEnd"/>
            <w:r w:rsidRPr="006A0528">
              <w:rPr>
                <w:rFonts w:ascii="inherit" w:eastAsia="Times New Roman" w:hAnsi="inherit" w:cs="Times New Roman"/>
                <w:b/>
                <w:bCs/>
                <w:color w:val="333333"/>
                <w:kern w:val="36"/>
                <w:sz w:val="48"/>
                <w:szCs w:val="48"/>
              </w:rPr>
              <w:t xml:space="preserve"> in Expectant Therapy of Distal Ureteral Stones</w:t>
            </w:r>
          </w:p>
          <w:p w:rsidR="006A0528" w:rsidRPr="006A0528" w:rsidRDefault="006A0528" w:rsidP="006A052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28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</w:rPr>
              <w:t>Gharib</w:t>
            </w:r>
            <w:proofErr w:type="spellEnd"/>
            <w:r w:rsidRPr="006A0528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T. · </w:t>
            </w:r>
            <w:proofErr w:type="spellStart"/>
            <w:r w:rsidRPr="006A0528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</w:rPr>
              <w:t>Mohey</w:t>
            </w:r>
            <w:proofErr w:type="spellEnd"/>
            <w:r w:rsidRPr="006A0528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A. · </w:t>
            </w:r>
            <w:proofErr w:type="spellStart"/>
            <w:r w:rsidRPr="006A0528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</w:rPr>
              <w:t>Fathi</w:t>
            </w:r>
            <w:proofErr w:type="spellEnd"/>
            <w:r w:rsidRPr="006A0528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A. · </w:t>
            </w:r>
            <w:proofErr w:type="spellStart"/>
            <w:r w:rsidRPr="006A0528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</w:rPr>
              <w:t>Alhefnawy</w:t>
            </w:r>
            <w:proofErr w:type="spellEnd"/>
            <w:r w:rsidRPr="006A0528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M. · </w:t>
            </w:r>
            <w:proofErr w:type="spellStart"/>
            <w:r w:rsidRPr="006A0528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</w:rPr>
              <w:t>Alazaby</w:t>
            </w:r>
            <w:proofErr w:type="spellEnd"/>
            <w:r w:rsidRPr="006A0528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H. · </w:t>
            </w:r>
            <w:proofErr w:type="spellStart"/>
            <w:r w:rsidRPr="006A0528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</w:rPr>
              <w:t>Eldakhakhny</w:t>
            </w:r>
            <w:proofErr w:type="spellEnd"/>
            <w:r w:rsidRPr="006A0528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A.</w:t>
            </w:r>
            <w:r w:rsidRPr="006A0528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</w:rPr>
              <w:br/>
            </w:r>
          </w:p>
          <w:p w:rsidR="006A0528" w:rsidRPr="006A0528" w:rsidRDefault="006A0528" w:rsidP="006A0528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6" w:history="1">
              <w:r w:rsidRPr="006A0528">
                <w:rPr>
                  <w:rFonts w:ascii="inherit" w:eastAsia="Times New Roman" w:hAnsi="inherit" w:cs="Times New Roman"/>
                  <w:color w:val="333333"/>
                  <w:sz w:val="24"/>
                  <w:szCs w:val="24"/>
                  <w:u w:val="single"/>
                  <w:bdr w:val="none" w:sz="0" w:space="0" w:color="auto" w:frame="1"/>
                </w:rPr>
                <w:t>Author affiliations</w:t>
              </w:r>
            </w:hyperlink>
          </w:p>
          <w:p w:rsidR="006A0528" w:rsidRPr="006A0528" w:rsidRDefault="006A0528" w:rsidP="006A0528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6A052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Keywords: </w:t>
            </w:r>
            <w:hyperlink r:id="rId7" w:anchor="keyworSelector" w:history="1">
              <w:r w:rsidRPr="006A0528">
                <w:rPr>
                  <w:rFonts w:ascii="inherit" w:eastAsia="Times New Roman" w:hAnsi="inherit" w:cs="Times New Roman"/>
                  <w:color w:val="333333"/>
                  <w:sz w:val="24"/>
                  <w:szCs w:val="24"/>
                  <w:u w:val="single"/>
                  <w:bdr w:val="none" w:sz="0" w:space="0" w:color="auto" w:frame="1"/>
                </w:rPr>
                <w:t xml:space="preserve">Medical expulsion </w:t>
              </w:r>
              <w:proofErr w:type="spellStart"/>
              <w:r w:rsidRPr="006A0528">
                <w:rPr>
                  <w:rFonts w:ascii="inherit" w:eastAsia="Times New Roman" w:hAnsi="inherit" w:cs="Times New Roman"/>
                  <w:color w:val="333333"/>
                  <w:sz w:val="24"/>
                  <w:szCs w:val="24"/>
                  <w:u w:val="single"/>
                  <w:bdr w:val="none" w:sz="0" w:space="0" w:color="auto" w:frame="1"/>
                </w:rPr>
                <w:t>therapy</w:t>
              </w:r>
            </w:hyperlink>
            <w:hyperlink r:id="rId8" w:anchor="keyworSelector" w:history="1">
              <w:r w:rsidRPr="006A0528">
                <w:rPr>
                  <w:rFonts w:ascii="inherit" w:eastAsia="Times New Roman" w:hAnsi="inherit" w:cs="Times New Roman"/>
                  <w:color w:val="333333"/>
                  <w:sz w:val="24"/>
                  <w:szCs w:val="24"/>
                  <w:u w:val="single"/>
                  <w:bdr w:val="none" w:sz="0" w:space="0" w:color="auto" w:frame="1"/>
                </w:rPr>
                <w:t>Urolithiasis</w:t>
              </w:r>
            </w:hyperlink>
            <w:hyperlink r:id="rId9" w:anchor="keyworSelector" w:history="1">
              <w:r w:rsidRPr="006A0528">
                <w:rPr>
                  <w:rFonts w:ascii="inherit" w:eastAsia="Times New Roman" w:hAnsi="inherit" w:cs="Times New Roman"/>
                  <w:color w:val="333333"/>
                  <w:sz w:val="24"/>
                  <w:szCs w:val="24"/>
                  <w:u w:val="single"/>
                  <w:bdr w:val="none" w:sz="0" w:space="0" w:color="auto" w:frame="1"/>
                </w:rPr>
                <w:t>Silodosin</w:t>
              </w:r>
            </w:hyperlink>
            <w:hyperlink r:id="rId10" w:anchor="keyworSelector" w:history="1">
              <w:r w:rsidRPr="006A0528">
                <w:rPr>
                  <w:rFonts w:ascii="inherit" w:eastAsia="Times New Roman" w:hAnsi="inherit" w:cs="Times New Roman"/>
                  <w:color w:val="333333"/>
                  <w:sz w:val="24"/>
                  <w:szCs w:val="24"/>
                  <w:u w:val="single"/>
                  <w:bdr w:val="none" w:sz="0" w:space="0" w:color="auto" w:frame="1"/>
                </w:rPr>
                <w:t>Tamsulosin</w:t>
              </w:r>
            </w:hyperlink>
            <w:hyperlink r:id="rId11" w:anchor="keyworSelector" w:history="1">
              <w:r w:rsidRPr="006A0528">
                <w:rPr>
                  <w:rFonts w:ascii="inherit" w:eastAsia="Times New Roman" w:hAnsi="inherit" w:cs="Times New Roman"/>
                  <w:color w:val="333333"/>
                  <w:sz w:val="24"/>
                  <w:szCs w:val="24"/>
                  <w:u w:val="single"/>
                  <w:bdr w:val="none" w:sz="0" w:space="0" w:color="auto" w:frame="1"/>
                </w:rPr>
                <w:t>Distal</w:t>
              </w:r>
              <w:proofErr w:type="spellEnd"/>
              <w:r w:rsidRPr="006A0528">
                <w:rPr>
                  <w:rFonts w:ascii="inherit" w:eastAsia="Times New Roman" w:hAnsi="inherit" w:cs="Times New Roman"/>
                  <w:color w:val="333333"/>
                  <w:sz w:val="24"/>
                  <w:szCs w:val="24"/>
                  <w:u w:val="single"/>
                  <w:bdr w:val="none" w:sz="0" w:space="0" w:color="auto" w:frame="1"/>
                </w:rPr>
                <w:t xml:space="preserve"> ureteral stones</w:t>
              </w:r>
            </w:hyperlink>
          </w:p>
        </w:tc>
      </w:tr>
      <w:tr w:rsidR="006A0528" w:rsidRPr="006A0528" w:rsidTr="006A052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528" w:rsidRPr="006A0528" w:rsidRDefault="006A0528" w:rsidP="006A052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528" w:rsidRPr="006A0528" w:rsidRDefault="006A0528" w:rsidP="006A052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0528">
        <w:rPr>
          <w:rFonts w:ascii="Times New Roman" w:eastAsia="Times New Roman" w:hAnsi="Times New Roman" w:cs="Times New Roman"/>
          <w:sz w:val="24"/>
          <w:szCs w:val="24"/>
        </w:rPr>
        <w:t>Urol</w:t>
      </w:r>
      <w:proofErr w:type="spellEnd"/>
      <w:r w:rsidRPr="006A0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528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6A0528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proofErr w:type="gramStart"/>
      <w:r w:rsidRPr="006A0528">
        <w:rPr>
          <w:rFonts w:ascii="Times New Roman" w:eastAsia="Times New Roman" w:hAnsi="Times New Roman" w:cs="Times New Roman"/>
          <w:sz w:val="24"/>
          <w:szCs w:val="24"/>
        </w:rPr>
        <w:t>;101:161</w:t>
      </w:r>
      <w:proofErr w:type="gramEnd"/>
      <w:r w:rsidRPr="006A0528">
        <w:rPr>
          <w:rFonts w:ascii="Times New Roman" w:eastAsia="Times New Roman" w:hAnsi="Times New Roman" w:cs="Times New Roman"/>
          <w:sz w:val="24"/>
          <w:szCs w:val="24"/>
        </w:rPr>
        <w:t>–166</w:t>
      </w:r>
    </w:p>
    <w:p w:rsidR="006A0528" w:rsidRPr="006A0528" w:rsidRDefault="006A0528" w:rsidP="006A0528">
      <w:pPr>
        <w:bidi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6A052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</w:rPr>
          <w:t>https://doi.org/10.1159/000490623</w:t>
        </w:r>
      </w:hyperlink>
    </w:p>
    <w:bookmarkStart w:id="0" w:name="login"/>
    <w:bookmarkEnd w:id="0"/>
    <w:p w:rsidR="006A0528" w:rsidRPr="006A0528" w:rsidRDefault="006A0528" w:rsidP="006A0528">
      <w:pPr>
        <w:numPr>
          <w:ilvl w:val="0"/>
          <w:numId w:val="1"/>
        </w:numPr>
        <w:pBdr>
          <w:bottom w:val="single" w:sz="18" w:space="0" w:color="F89300"/>
        </w:pBdr>
        <w:shd w:val="clear" w:color="auto" w:fill="F2F2F2"/>
        <w:bidi w:val="0"/>
        <w:spacing w:after="0" w:line="270" w:lineRule="atLeast"/>
        <w:ind w:left="0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6A0528">
        <w:rPr>
          <w:rFonts w:ascii="inherit" w:eastAsia="Times New Roman" w:hAnsi="inherit" w:cs="Times New Roman"/>
          <w:b/>
          <w:bCs/>
          <w:sz w:val="24"/>
          <w:szCs w:val="24"/>
        </w:rPr>
        <w:fldChar w:fldCharType="begin"/>
      </w:r>
      <w:r w:rsidRPr="006A0528">
        <w:rPr>
          <w:rFonts w:ascii="inherit" w:eastAsia="Times New Roman" w:hAnsi="inherit" w:cs="Times New Roman"/>
          <w:b/>
          <w:bCs/>
          <w:sz w:val="24"/>
          <w:szCs w:val="24"/>
        </w:rPr>
        <w:instrText xml:space="preserve"> HYPERLINK "https://www.karger.com/Article/Abstract/490623" </w:instrText>
      </w:r>
      <w:r w:rsidRPr="006A0528">
        <w:rPr>
          <w:rFonts w:ascii="inherit" w:eastAsia="Times New Roman" w:hAnsi="inherit" w:cs="Times New Roman"/>
          <w:b/>
          <w:bCs/>
          <w:sz w:val="24"/>
          <w:szCs w:val="24"/>
        </w:rPr>
        <w:fldChar w:fldCharType="separate"/>
      </w:r>
      <w:r w:rsidRPr="006A0528">
        <w:rPr>
          <w:rFonts w:ascii="inherit" w:eastAsia="Times New Roman" w:hAnsi="inherit" w:cs="Times New Roman"/>
          <w:b/>
          <w:bCs/>
          <w:caps/>
          <w:color w:val="000000"/>
          <w:sz w:val="24"/>
          <w:szCs w:val="24"/>
          <w:bdr w:val="none" w:sz="0" w:space="0" w:color="auto" w:frame="1"/>
          <w:shd w:val="clear" w:color="auto" w:fill="FFFFFF"/>
        </w:rPr>
        <w:t>ABSTRACT</w:t>
      </w:r>
      <w:r w:rsidRPr="006A0528">
        <w:rPr>
          <w:rFonts w:ascii="inherit" w:eastAsia="Times New Roman" w:hAnsi="inherit" w:cs="Times New Roman"/>
          <w:b/>
          <w:bCs/>
          <w:sz w:val="24"/>
          <w:szCs w:val="24"/>
        </w:rPr>
        <w:fldChar w:fldCharType="end"/>
      </w:r>
    </w:p>
    <w:p w:rsidR="006A0528" w:rsidRPr="006A0528" w:rsidRDefault="006A0528" w:rsidP="006A0528">
      <w:pPr>
        <w:numPr>
          <w:ilvl w:val="0"/>
          <w:numId w:val="1"/>
        </w:numPr>
        <w:pBdr>
          <w:bottom w:val="single" w:sz="6" w:space="0" w:color="333333"/>
        </w:pBdr>
        <w:shd w:val="clear" w:color="auto" w:fill="F2F2F2"/>
        <w:bidi w:val="0"/>
        <w:spacing w:after="0" w:line="270" w:lineRule="atLeast"/>
        <w:ind w:left="0"/>
        <w:rPr>
          <w:rFonts w:ascii="inherit" w:eastAsia="Times New Roman" w:hAnsi="inherit" w:cs="Times New Roman"/>
          <w:b/>
          <w:bCs/>
          <w:sz w:val="24"/>
          <w:szCs w:val="24"/>
        </w:rPr>
      </w:pPr>
      <w:hyperlink r:id="rId13" w:history="1">
        <w:r w:rsidRPr="006A0528">
          <w:rPr>
            <w:rFonts w:ascii="inherit" w:eastAsia="Times New Roman" w:hAnsi="inherit" w:cs="Times New Roman"/>
            <w:b/>
            <w:bCs/>
            <w:caps/>
            <w:color w:val="333333"/>
            <w:sz w:val="24"/>
            <w:szCs w:val="24"/>
          </w:rPr>
          <w:t>GET ARTICLE</w:t>
        </w:r>
      </w:hyperlink>
    </w:p>
    <w:p w:rsidR="006A0528" w:rsidRPr="006A0528" w:rsidRDefault="006A0528" w:rsidP="006A0528">
      <w:pPr>
        <w:numPr>
          <w:ilvl w:val="0"/>
          <w:numId w:val="1"/>
        </w:numPr>
        <w:pBdr>
          <w:bottom w:val="single" w:sz="6" w:space="0" w:color="333333"/>
        </w:pBdr>
        <w:shd w:val="clear" w:color="auto" w:fill="F2F2F2"/>
        <w:bidi w:val="0"/>
        <w:spacing w:after="0" w:line="270" w:lineRule="atLeast"/>
        <w:ind w:left="0"/>
        <w:rPr>
          <w:rFonts w:ascii="inherit" w:eastAsia="Times New Roman" w:hAnsi="inherit" w:cs="Times New Roman"/>
          <w:b/>
          <w:bCs/>
          <w:sz w:val="24"/>
          <w:szCs w:val="24"/>
        </w:rPr>
      </w:pPr>
      <w:hyperlink r:id="rId14" w:anchor="tab1" w:history="1">
        <w:r w:rsidRPr="006A0528">
          <w:rPr>
            <w:rFonts w:ascii="inherit" w:eastAsia="Times New Roman" w:hAnsi="inherit" w:cs="Times New Roman"/>
            <w:b/>
            <w:bCs/>
            <w:caps/>
            <w:color w:val="333333"/>
            <w:sz w:val="24"/>
            <w:szCs w:val="24"/>
          </w:rPr>
          <w:t>LOGIN / REGISTER</w:t>
        </w:r>
      </w:hyperlink>
    </w:p>
    <w:p w:rsidR="006A0528" w:rsidRPr="006A0528" w:rsidRDefault="006A0528" w:rsidP="006A0528">
      <w:pPr>
        <w:shd w:val="clear" w:color="auto" w:fill="FFFFFF"/>
        <w:bidi w:val="0"/>
        <w:spacing w:before="660" w:after="330" w:line="63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</w:pPr>
      <w:r w:rsidRPr="006A0528"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  <w:t>Abstract</w:t>
      </w:r>
    </w:p>
    <w:p w:rsidR="006A0528" w:rsidRPr="006A0528" w:rsidRDefault="006A0528" w:rsidP="006A0528">
      <w:pPr>
        <w:shd w:val="clear" w:color="auto" w:fill="FFFFFF"/>
        <w:bidi w:val="0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6A0528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Objective:</w:t>
      </w:r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 xml:space="preserve"> To compare the efficacy and safety of silodosin against </w:t>
      </w:r>
      <w:proofErr w:type="spellStart"/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>tamsulosin</w:t>
      </w:r>
      <w:proofErr w:type="spellEnd"/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 xml:space="preserve"> as medical expulsion therapeutic agent in stone lower 1/3rd ureter. </w:t>
      </w:r>
      <w:r w:rsidRPr="006A0528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Patients and Methods:</w:t>
      </w:r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 xml:space="preserve"> One hundred fifty patients divided equally into 2 groups I and II received silodosin 8 mg and </w:t>
      </w:r>
      <w:proofErr w:type="spellStart"/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>tamsulosin</w:t>
      </w:r>
      <w:proofErr w:type="spellEnd"/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 xml:space="preserve"> 0.4 mg respectively. Patients aged 18 years or older having single unilateral stone 10 mm or less </w:t>
      </w:r>
      <w:proofErr w:type="gramStart"/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>were</w:t>
      </w:r>
      <w:proofErr w:type="gramEnd"/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 xml:space="preserve"> included in the study. Patients with bilateral or multiple stones, marked </w:t>
      </w:r>
      <w:proofErr w:type="spellStart"/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>hydronephrosis</w:t>
      </w:r>
      <w:proofErr w:type="spellEnd"/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>, previous open or endoscopic surgery and having urinary infection were excluded. Patients were followed weekly for 4 weeks by ultrasonography, plain radiography of the urinary tract and CT of the urinary tract when indicated. </w:t>
      </w:r>
      <w:r w:rsidRPr="006A0528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Results:</w:t>
      </w:r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 xml:space="preserve"> Silodosin showed better results against </w:t>
      </w:r>
      <w:proofErr w:type="spellStart"/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>tamsulosin</w:t>
      </w:r>
      <w:proofErr w:type="spellEnd"/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 xml:space="preserve"> as stone expulsion rate in silodosin and </w:t>
      </w:r>
      <w:proofErr w:type="spellStart"/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>tamsulosin</w:t>
      </w:r>
      <w:proofErr w:type="spellEnd"/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 xml:space="preserve"> groups was 82.4 and 61.5% respectively with significant difference (</w:t>
      </w:r>
      <w:r w:rsidRPr="006A0528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p</w:t>
      </w:r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 xml:space="preserve"> = 0.007). Also, the stone expulsion time was significantly lower in silodosin against </w:t>
      </w:r>
      <w:proofErr w:type="spellStart"/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>tamsulosin</w:t>
      </w:r>
      <w:proofErr w:type="spellEnd"/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 xml:space="preserve"> groups as it was 9.4 ± 3.8 vs. 12.7 ± 5.1 days in group I and II respectively (</w:t>
      </w:r>
      <w:r w:rsidRPr="006A0528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p</w:t>
      </w:r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> = 0.001). The adverse effects were comparable with non-significant more retrograde ejaculation in the silodosin group. </w:t>
      </w:r>
      <w:r w:rsidRPr="006A0528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Conclusion:</w:t>
      </w:r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> Silodosin showed better efficacy in the stone expulsion rate and time with comparable safety of both drugs, with nonsignificant more retrograde ejaculation in silodosin.</w:t>
      </w:r>
    </w:p>
    <w:p w:rsidR="006A0528" w:rsidRPr="006A0528" w:rsidRDefault="006A0528" w:rsidP="006A0528">
      <w:pPr>
        <w:shd w:val="clear" w:color="auto" w:fill="FFFFFF"/>
        <w:bidi w:val="0"/>
        <w:spacing w:after="150" w:line="36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 xml:space="preserve">© 2018 S. </w:t>
      </w:r>
      <w:proofErr w:type="spellStart"/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>Karger</w:t>
      </w:r>
      <w:proofErr w:type="spellEnd"/>
      <w:r w:rsidRPr="006A0528">
        <w:rPr>
          <w:rFonts w:ascii="Verdana" w:eastAsia="Times New Roman" w:hAnsi="Verdana" w:cs="Times New Roman"/>
          <w:color w:val="333333"/>
          <w:sz w:val="24"/>
          <w:szCs w:val="24"/>
        </w:rPr>
        <w:t xml:space="preserve"> AG, Basel</w:t>
      </w:r>
    </w:p>
    <w:p w:rsidR="00257B2E" w:rsidRDefault="00257B2E">
      <w:pPr>
        <w:rPr>
          <w:rFonts w:hint="cs"/>
          <w:lang w:bidi="ar-EG"/>
        </w:rPr>
      </w:pPr>
      <w:bookmarkStart w:id="1" w:name="_GoBack"/>
      <w:bookmarkEnd w:id="1"/>
    </w:p>
    <w:sectPr w:rsidR="00257B2E" w:rsidSect="00B849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5D13"/>
    <w:multiLevelType w:val="multilevel"/>
    <w:tmpl w:val="CE40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A9"/>
    <w:rsid w:val="00257B2E"/>
    <w:rsid w:val="006A0528"/>
    <w:rsid w:val="00A52CA9"/>
    <w:rsid w:val="00B8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55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ger.com/Article/Abstract/490623" TargetMode="External"/><Relationship Id="rId13" Type="http://schemas.openxmlformats.org/officeDocument/2006/relationships/hyperlink" Target="https://www.karger.com/Article/Purchase/4906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arger.com/Article/Abstract/490623" TargetMode="External"/><Relationship Id="rId12" Type="http://schemas.openxmlformats.org/officeDocument/2006/relationships/hyperlink" Target="https://doi.org/10.1159/0004906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arger.com/Article/Abstract/490623" TargetMode="External"/><Relationship Id="rId11" Type="http://schemas.openxmlformats.org/officeDocument/2006/relationships/hyperlink" Target="https://www.karger.com/Article/Abstract/4906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arger.com/Article/Abstract/4906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rger.com/Article/Abstract/490623" TargetMode="External"/><Relationship Id="rId14" Type="http://schemas.openxmlformats.org/officeDocument/2006/relationships/hyperlink" Target="https://www.karger.com/Article/Abstract/490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2020-07-20T16:20:00Z</dcterms:created>
  <dcterms:modified xsi:type="dcterms:W3CDTF">2020-07-20T16:20:00Z</dcterms:modified>
</cp:coreProperties>
</file>